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21EDBC9" w14:textId="77777777" w:rsidR="00313A1F" w:rsidRDefault="00313A1F">
      <w:pPr>
        <w:pStyle w:val="Title"/>
      </w:pPr>
      <w:r>
        <w:rPr>
          <w:noProof/>
          <w:lang w:val="en-GB" w:eastAsia="en-GB"/>
        </w:rPr>
        <w:drawing>
          <wp:anchor distT="0" distB="0" distL="114300" distR="114300" simplePos="0" relativeHeight="251666432" behindDoc="1" locked="0" layoutInCell="1" allowOverlap="1" wp14:anchorId="7C5D9E14" wp14:editId="2E8659A1">
            <wp:simplePos x="0" y="0"/>
            <wp:positionH relativeFrom="column">
              <wp:posOffset>4853849</wp:posOffset>
            </wp:positionH>
            <wp:positionV relativeFrom="paragraph">
              <wp:posOffset>-154940</wp:posOffset>
            </wp:positionV>
            <wp:extent cx="1831340" cy="1831340"/>
            <wp:effectExtent l="0" t="0" r="0" b="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others-logo-02.jpg"/>
                    <pic:cNvPicPr/>
                  </pic:nvPicPr>
                  <pic:blipFill>
                    <a:blip r:embed="rId8">
                      <a:extLst>
                        <a:ext uri="{28A0092B-C50C-407E-A947-70E740481C1C}">
                          <a14:useLocalDpi xmlns:a14="http://schemas.microsoft.com/office/drawing/2010/main" val="0"/>
                        </a:ext>
                      </a:extLst>
                    </a:blip>
                    <a:stretch>
                      <a:fillRect/>
                    </a:stretch>
                  </pic:blipFill>
                  <pic:spPr>
                    <a:xfrm>
                      <a:off x="0" y="0"/>
                      <a:ext cx="1831340" cy="1831340"/>
                    </a:xfrm>
                    <a:prstGeom prst="rect">
                      <a:avLst/>
                    </a:prstGeom>
                  </pic:spPr>
                </pic:pic>
              </a:graphicData>
            </a:graphic>
            <wp14:sizeRelH relativeFrom="page">
              <wp14:pctWidth>0</wp14:pctWidth>
            </wp14:sizeRelH>
            <wp14:sizeRelV relativeFrom="page">
              <wp14:pctHeight>0</wp14:pctHeight>
            </wp14:sizeRelV>
          </wp:anchor>
        </w:drawing>
      </w:r>
      <w:r>
        <w:t>turkey</w:t>
      </w:r>
    </w:p>
    <w:p w14:paraId="64E271AE" w14:textId="77777777" w:rsidR="00313A1F" w:rsidRDefault="00313A1F">
      <w:pPr>
        <w:pStyle w:val="Title"/>
      </w:pPr>
      <w:r>
        <w:t>rıghts</w:t>
      </w:r>
    </w:p>
    <w:p w14:paraId="5E2FFADF" w14:textId="039712A9" w:rsidR="00313A1F" w:rsidRDefault="005923A1">
      <w:pPr>
        <w:pStyle w:val="Title"/>
      </w:pPr>
      <w:r>
        <w:t>MONITOR</w:t>
      </w:r>
    </w:p>
    <w:p w14:paraId="71B834F8" w14:textId="0713C9F2" w:rsidR="00A82319" w:rsidRDefault="00D15A1D">
      <w:pPr>
        <w:pStyle w:val="Subtitle"/>
      </w:pPr>
      <w:r>
        <w:t>Issue No.</w:t>
      </w:r>
      <w:r w:rsidR="0054016A">
        <w:t xml:space="preserve"> 301</w:t>
      </w:r>
      <w:r>
        <w:t xml:space="preserve"> | </w:t>
      </w:r>
      <w:proofErr w:type="gramStart"/>
      <w:r w:rsidR="002B3B4B">
        <w:t>Date</w:t>
      </w:r>
      <w:r w:rsidR="0054016A">
        <w:t xml:space="preserve">  23</w:t>
      </w:r>
      <w:proofErr w:type="gramEnd"/>
      <w:r w:rsidR="0054016A">
        <w:t>-39 March</w:t>
      </w:r>
    </w:p>
    <w:p w14:paraId="23DE401C" w14:textId="77777777" w:rsidR="00DA772E" w:rsidRDefault="00DA772E" w:rsidP="00F36FB0">
      <w:pPr>
        <w:pStyle w:val="Heading1"/>
        <w:sectPr w:rsidR="00DA772E">
          <w:pgSz w:w="12240" w:h="15840"/>
          <w:pgMar w:top="792" w:right="720" w:bottom="720" w:left="720" w:header="720" w:footer="720" w:gutter="0"/>
          <w:cols w:space="720"/>
          <w:docGrid w:linePitch="360"/>
        </w:sectPr>
      </w:pPr>
    </w:p>
    <w:p w14:paraId="1173604C" w14:textId="4474FBAC" w:rsidR="002B3B4B" w:rsidRDefault="00CA592E" w:rsidP="002B3B4B">
      <w:pPr>
        <w:pStyle w:val="Heading1"/>
      </w:pPr>
      <w:r>
        <w:t>ARBITRARY DETENTION AND ARREST</w:t>
      </w:r>
    </w:p>
    <w:p w14:paraId="56E7D445" w14:textId="15DB9D62" w:rsidR="00E56D58" w:rsidRDefault="00E56D58" w:rsidP="00E56D58">
      <w:r>
        <w:t xml:space="preserve">Throughout the week, prosecutors ordered the detention of at least </w:t>
      </w:r>
      <w:r w:rsidR="001E7F57">
        <w:t>103</w:t>
      </w:r>
      <w:r>
        <w:t xml:space="preserve"> people over alleged links to the Gülen movement. </w:t>
      </w:r>
      <w:r w:rsidR="00F7627F" w:rsidRPr="00F7627F">
        <w:t xml:space="preserve">Since 2017, the Working Group on Arbitrary Detention (WGAD) has issued 26 </w:t>
      </w:r>
      <w:hyperlink r:id="rId9" w:history="1">
        <w:r w:rsidR="00F7627F" w:rsidRPr="00F7627F">
          <w:rPr>
            <w:rStyle w:val="Hyperlink"/>
          </w:rPr>
          <w:t xml:space="preserve">opinions </w:t>
        </w:r>
      </w:hyperlink>
      <w:r w:rsidR="00F7627F" w:rsidRPr="00F7627F">
        <w:t>concerning arbitrary detentions based on alleged membership in the Gülen movement, in which it has expressed grave concern that the widespread or systematic imprisonment of individuals linked to the group may amount to crimes against humanity.</w:t>
      </w:r>
      <w:r>
        <w:t xml:space="preserve"> Solidarity with OTHERS has compiled a detailed </w:t>
      </w:r>
      <w:hyperlink r:id="rId10" w:history="1">
        <w:r w:rsidRPr="00493975">
          <w:rPr>
            <w:rStyle w:val="Hyperlink"/>
          </w:rPr>
          <w:t>database</w:t>
        </w:r>
      </w:hyperlink>
      <w:r>
        <w:t xml:space="preserve"> to monitor the Gülen-linked mass detentions since a failed coup in July 2016.</w:t>
      </w:r>
    </w:p>
    <w:p w14:paraId="14B22F29" w14:textId="52B63385" w:rsidR="000F3C0E" w:rsidRPr="002565BA" w:rsidRDefault="000F3C0E" w:rsidP="00E56D58">
      <w:pPr>
        <w:rPr>
          <w:lang w:val="en-BE"/>
        </w:rPr>
      </w:pPr>
      <w:r>
        <w:t xml:space="preserve">25 March: </w:t>
      </w:r>
      <w:r w:rsidRPr="000F3C0E">
        <w:rPr>
          <w:lang w:val="en-BE"/>
        </w:rPr>
        <w:t xml:space="preserve">Turkish prosecutors </w:t>
      </w:r>
      <w:hyperlink r:id="rId11" w:history="1">
        <w:r w:rsidRPr="000F3C0E">
          <w:rPr>
            <w:rStyle w:val="Hyperlink"/>
            <w:lang w:val="en-BE"/>
          </w:rPr>
          <w:t xml:space="preserve">ordered </w:t>
        </w:r>
      </w:hyperlink>
      <w:r w:rsidRPr="000F3C0E">
        <w:rPr>
          <w:lang w:val="en-BE"/>
        </w:rPr>
        <w:t xml:space="preserve">the detention of nine people for allegedly using the ByLock messaging app despite </w:t>
      </w:r>
      <w:hyperlink r:id="rId12" w:history="1">
        <w:r w:rsidRPr="000F3C0E">
          <w:rPr>
            <w:rStyle w:val="Hyperlink"/>
            <w:lang w:val="en-BE"/>
          </w:rPr>
          <w:t>ECtHR rulings</w:t>
        </w:r>
      </w:hyperlink>
      <w:r w:rsidRPr="000F3C0E">
        <w:rPr>
          <w:lang w:val="en-BE"/>
        </w:rPr>
        <w:t xml:space="preserve"> because authorities continue to treat its use as evidence of terrorism-related membership without individualized proof.</w:t>
      </w:r>
    </w:p>
    <w:p w14:paraId="3F6A8C6A" w14:textId="7599A53B" w:rsidR="00BE707C" w:rsidRDefault="00BE707C" w:rsidP="00BE707C">
      <w:pPr>
        <w:pStyle w:val="Heading1"/>
      </w:pPr>
      <w:r>
        <w:t>ARBITRARY DEPRIVATION OF LIFE</w:t>
      </w:r>
    </w:p>
    <w:p w14:paraId="2D7EA451" w14:textId="09F5365D" w:rsidR="000F3C0E" w:rsidRPr="000F3C0E" w:rsidRDefault="000F3C0E" w:rsidP="000F3C0E">
      <w:r>
        <w:t xml:space="preserve">24 March: </w:t>
      </w:r>
      <w:r w:rsidRPr="000F3C0E">
        <w:t>A critically ill 70-year-old Kurdish prisoner</w:t>
      </w:r>
      <w:r>
        <w:t xml:space="preserve">, </w:t>
      </w:r>
      <w:r w:rsidR="002565BA" w:rsidRPr="002565BA">
        <w:t>Mehmet Edip Taşar</w:t>
      </w:r>
      <w:r>
        <w:t xml:space="preserve">, </w:t>
      </w:r>
      <w:r w:rsidRPr="000F3C0E">
        <w:t xml:space="preserve"> </w:t>
      </w:r>
      <w:hyperlink r:id="rId13" w:history="1">
        <w:r w:rsidRPr="000F3C0E">
          <w:rPr>
            <w:rStyle w:val="Hyperlink"/>
          </w:rPr>
          <w:t xml:space="preserve">died </w:t>
        </w:r>
      </w:hyperlink>
      <w:r w:rsidRPr="000F3C0E">
        <w:t>in hospital after authorities repeatedly denied his release despite severe health conditions, raising concerns over failure to suspend sentences for seriously ill inmates.</w:t>
      </w:r>
    </w:p>
    <w:p w14:paraId="15ABE6EB" w14:textId="1DA1A4B9" w:rsidR="006936F8" w:rsidRDefault="006936F8" w:rsidP="006936F8">
      <w:pPr>
        <w:pStyle w:val="Heading1"/>
      </w:pPr>
      <w:r>
        <w:t>ENFORCED DISAPPEARANCES</w:t>
      </w:r>
    </w:p>
    <w:p w14:paraId="5D3918A9" w14:textId="58029436" w:rsidR="00E837EB" w:rsidRPr="00E837EB" w:rsidRDefault="00E837EB" w:rsidP="00E837EB">
      <w:r>
        <w:t xml:space="preserve">No news has emerged of </w:t>
      </w:r>
      <w:hyperlink r:id="rId14" w:history="1">
        <w:r w:rsidRPr="00043EE7">
          <w:rPr>
            <w:rStyle w:val="Hyperlink"/>
          </w:rPr>
          <w:t>Yusuf Bilge Tunç</w:t>
        </w:r>
      </w:hyperlink>
      <w:r>
        <w:t>,</w:t>
      </w:r>
      <w:r w:rsidR="00F94300">
        <w:t xml:space="preserve"> a</w:t>
      </w:r>
      <w:r>
        <w:t xml:space="preserve"> former public sector worker who w</w:t>
      </w:r>
      <w:r w:rsidR="00F94300">
        <w:t>as</w:t>
      </w:r>
      <w:r>
        <w:t xml:space="preserve"> sacked from </w:t>
      </w:r>
      <w:r w:rsidR="00F94300">
        <w:t>his</w:t>
      </w:r>
      <w:r>
        <w:t xml:space="preserve"> job by</w:t>
      </w:r>
      <w:r w:rsidR="00F94300">
        <w:t xml:space="preserve"> a</w:t>
      </w:r>
      <w:r>
        <w:t xml:space="preserve"> decree-law during the 2016-2018 state of emergency and who w</w:t>
      </w:r>
      <w:r w:rsidR="00F94300">
        <w:t>as</w:t>
      </w:r>
      <w:r>
        <w:t xml:space="preserve"> reported missing as of August 6, 2019</w:t>
      </w:r>
      <w:r w:rsidR="00EE471D">
        <w:t>,</w:t>
      </w:r>
      <w:r>
        <w:t xml:space="preserve"> in what appear</w:t>
      </w:r>
      <w:r w:rsidR="00F94300">
        <w:t>s</w:t>
      </w:r>
      <w:r>
        <w:t xml:space="preserve"> to be</w:t>
      </w:r>
      <w:r w:rsidR="00F94300">
        <w:t xml:space="preserve"> one of</w:t>
      </w:r>
      <w:r>
        <w:t xml:space="preserve"> the latest cases in a string of </w:t>
      </w:r>
      <w:r>
        <w:t xml:space="preserve">suspected </w:t>
      </w:r>
      <w:hyperlink r:id="rId15" w:history="1">
        <w:r w:rsidRPr="00043EE7">
          <w:rPr>
            <w:rStyle w:val="Hyperlink"/>
          </w:rPr>
          <w:t>enforced disappearance</w:t>
        </w:r>
      </w:hyperlink>
      <w:r>
        <w:t xml:space="preserve"> of government critics since 2016.</w:t>
      </w:r>
    </w:p>
    <w:p w14:paraId="5C6DCAB8" w14:textId="1AD1630A" w:rsidR="006936F8" w:rsidRDefault="000B2C9C" w:rsidP="006936F8">
      <w:pPr>
        <w:pStyle w:val="Heading1"/>
      </w:pPr>
      <w:r>
        <w:t>FREEDOM OF ASSEMBLY</w:t>
      </w:r>
      <w:r w:rsidR="00104100">
        <w:t xml:space="preserve"> AND ASSOCIATION</w:t>
      </w:r>
    </w:p>
    <w:p w14:paraId="52DC2C25" w14:textId="55B64234" w:rsidR="00AE6263" w:rsidRPr="00AE6263" w:rsidRDefault="00AE6263" w:rsidP="00AE6263">
      <w:r>
        <w:t xml:space="preserve">24 March: </w:t>
      </w:r>
      <w:r w:rsidRPr="00AE6263">
        <w:t xml:space="preserve">Turkish police </w:t>
      </w:r>
      <w:hyperlink r:id="rId16" w:history="1">
        <w:r w:rsidRPr="00AE6263">
          <w:rPr>
            <w:rStyle w:val="Hyperlink"/>
          </w:rPr>
          <w:t xml:space="preserve">detained </w:t>
        </w:r>
      </w:hyperlink>
      <w:r w:rsidRPr="00AE6263">
        <w:t xml:space="preserve">170 people in raids linked to </w:t>
      </w:r>
      <w:proofErr w:type="spellStart"/>
      <w:r w:rsidRPr="00AE6263">
        <w:t>Nevruz</w:t>
      </w:r>
      <w:proofErr w:type="spellEnd"/>
      <w:r w:rsidRPr="00AE6263">
        <w:t xml:space="preserve"> celebrations over the past week on allegations of PKK propaganda, highlighting continued criminalization of Kurdish expression despite ongoing peace initiative efforts.</w:t>
      </w:r>
    </w:p>
    <w:p w14:paraId="711B80BD" w14:textId="67537AD7" w:rsidR="00E836C5" w:rsidRDefault="00E836C5" w:rsidP="00E836C5">
      <w:pPr>
        <w:pStyle w:val="Heading1"/>
      </w:pPr>
      <w:r>
        <w:t>FREEDOM OF EXPRESSION</w:t>
      </w:r>
      <w:r w:rsidR="00CA592E">
        <w:t xml:space="preserve"> AND MEDIA</w:t>
      </w:r>
    </w:p>
    <w:p w14:paraId="48B2C2DC" w14:textId="51222638" w:rsidR="000F3C0E" w:rsidRDefault="000F3C0E" w:rsidP="00E6571D">
      <w:r>
        <w:t xml:space="preserve">23 March: </w:t>
      </w:r>
      <w:r w:rsidRPr="000F3C0E">
        <w:t xml:space="preserve">Turkish authorities have </w:t>
      </w:r>
      <w:hyperlink r:id="rId17" w:history="1">
        <w:r w:rsidRPr="000F3C0E">
          <w:rPr>
            <w:rStyle w:val="Hyperlink"/>
          </w:rPr>
          <w:t xml:space="preserve">investigated </w:t>
        </w:r>
      </w:hyperlink>
      <w:r w:rsidRPr="000F3C0E">
        <w:t>at least 70 journalists under the 2022 disinformation law because its broad and vague provisions allow prosecutors to criminalize critical reporting as “false information,” leading to detentions, arrests and prosecutions.</w:t>
      </w:r>
    </w:p>
    <w:p w14:paraId="78ED6EB9" w14:textId="6E1C248A" w:rsidR="00E6571D" w:rsidRPr="00E6571D" w:rsidRDefault="00E6571D" w:rsidP="00E6571D">
      <w:r>
        <w:t xml:space="preserve">26 March: </w:t>
      </w:r>
      <w:r w:rsidRPr="00E6571D">
        <w:t xml:space="preserve">Turkish authorities </w:t>
      </w:r>
      <w:hyperlink r:id="rId18" w:history="1">
        <w:proofErr w:type="spellStart"/>
        <w:r w:rsidRPr="00E6571D">
          <w:rPr>
            <w:rStyle w:val="Hyperlink"/>
          </w:rPr>
          <w:t>reblocked</w:t>
        </w:r>
        <w:proofErr w:type="spellEnd"/>
        <w:r w:rsidRPr="00E6571D">
          <w:rPr>
            <w:rStyle w:val="Hyperlink"/>
          </w:rPr>
          <w:t xml:space="preserve"> </w:t>
        </w:r>
      </w:hyperlink>
      <w:r w:rsidRPr="00E6571D">
        <w:t>KHK TV’s YouTube and X accounts just months after a Constitutional Court ruling ordering their restoration</w:t>
      </w:r>
      <w:r>
        <w:t>.</w:t>
      </w:r>
    </w:p>
    <w:p w14:paraId="148BB5A2" w14:textId="734EFEF7" w:rsidR="002B3B4B" w:rsidRDefault="002B3B4B" w:rsidP="002B3B4B">
      <w:pPr>
        <w:pStyle w:val="Heading1"/>
      </w:pPr>
      <w:r>
        <w:t>JUDICIAL INDEPENDENCE</w:t>
      </w:r>
      <w:r w:rsidR="00B678A0">
        <w:t xml:space="preserve"> &amp; RULE OF LAW</w:t>
      </w:r>
    </w:p>
    <w:p w14:paraId="099CA348" w14:textId="23208A5F" w:rsidR="00E76A83" w:rsidRDefault="00E76A83" w:rsidP="00AE6263">
      <w:r>
        <w:t xml:space="preserve">3 March: </w:t>
      </w:r>
      <w:r w:rsidRPr="00E76A83">
        <w:t xml:space="preserve">Prosecutors in Istanbul have </w:t>
      </w:r>
      <w:hyperlink r:id="rId19" w:history="1">
        <w:r w:rsidRPr="00E76A83">
          <w:rPr>
            <w:rStyle w:val="Hyperlink"/>
          </w:rPr>
          <w:t>sought up</w:t>
        </w:r>
      </w:hyperlink>
      <w:r w:rsidRPr="00E76A83">
        <w:t xml:space="preserve"> to 35 years in prison for jailed Beyoğlu Mayor </w:t>
      </w:r>
      <w:proofErr w:type="spellStart"/>
      <w:r w:rsidRPr="00E76A83">
        <w:t>İnan</w:t>
      </w:r>
      <w:proofErr w:type="spellEnd"/>
      <w:r w:rsidRPr="00E76A83">
        <w:t xml:space="preserve"> Güney on corruption-related charges and requested merging his case with the broader trial against İstanbul Mayor Ekrem İmamoğlu</w:t>
      </w:r>
      <w:r>
        <w:t xml:space="preserve">. </w:t>
      </w:r>
    </w:p>
    <w:p w14:paraId="1D3E41CE" w14:textId="02D03C0E" w:rsidR="00AE6263" w:rsidRDefault="00AE6263" w:rsidP="00AE6263">
      <w:r>
        <w:t xml:space="preserve">24 March: </w:t>
      </w:r>
      <w:r w:rsidRPr="00AE6263">
        <w:t xml:space="preserve">A Turkish appeals court </w:t>
      </w:r>
      <w:hyperlink r:id="rId20" w:history="1">
        <w:r w:rsidRPr="00AE6263">
          <w:rPr>
            <w:rStyle w:val="Hyperlink"/>
          </w:rPr>
          <w:t xml:space="preserve">dropped </w:t>
        </w:r>
      </w:hyperlink>
      <w:r w:rsidRPr="00AE6263">
        <w:t>cases against public officials over the 2014 Soma mining disaster that killed 301 miners, citing the statute of limitations, effectively ending accountability proceedings against state authorities despite earlier findings of oversight failures.</w:t>
      </w:r>
    </w:p>
    <w:p w14:paraId="78B4AD56" w14:textId="4C16AED7" w:rsidR="00AE6263" w:rsidRDefault="00AE6263" w:rsidP="00AE6263">
      <w:r>
        <w:lastRenderedPageBreak/>
        <w:t xml:space="preserve">25 March: </w:t>
      </w:r>
      <w:r w:rsidRPr="00AE6263">
        <w:t xml:space="preserve">Three land registry officials were </w:t>
      </w:r>
      <w:hyperlink r:id="rId21" w:history="1">
        <w:r w:rsidRPr="00AE6263">
          <w:rPr>
            <w:rStyle w:val="Hyperlink"/>
          </w:rPr>
          <w:t xml:space="preserve">arrested </w:t>
        </w:r>
      </w:hyperlink>
      <w:r w:rsidRPr="00AE6263">
        <w:t xml:space="preserve">in Turkey for allegedly unlawfully accessing Justice Minister Akın </w:t>
      </w:r>
      <w:proofErr w:type="spellStart"/>
      <w:r w:rsidRPr="00AE6263">
        <w:t>Gürlek’s</w:t>
      </w:r>
      <w:proofErr w:type="spellEnd"/>
      <w:r w:rsidRPr="00AE6263">
        <w:t xml:space="preserve"> property records, in a politically sensitive investigation following opposition claims about his wealth.</w:t>
      </w:r>
    </w:p>
    <w:p w14:paraId="08EE8E85" w14:textId="54620E49" w:rsidR="00E76A83" w:rsidRDefault="00E76A83" w:rsidP="00AE6263">
      <w:r>
        <w:t xml:space="preserve">25 March: </w:t>
      </w:r>
      <w:r w:rsidRPr="00E76A83">
        <w:t xml:space="preserve">Lawyers for Osman Kavala </w:t>
      </w:r>
      <w:hyperlink r:id="rId22" w:history="1">
        <w:r w:rsidRPr="00E76A83">
          <w:rPr>
            <w:rStyle w:val="Hyperlink"/>
          </w:rPr>
          <w:t xml:space="preserve">told </w:t>
        </w:r>
      </w:hyperlink>
      <w:r w:rsidRPr="00E76A83">
        <w:t>the European Court of Human Rights that Turkey continues to detain him based on previously discredited evidence despite earlier rulings ordering his release, as the case was heard by the court’s Grand Chamber.</w:t>
      </w:r>
    </w:p>
    <w:p w14:paraId="51233A21" w14:textId="4CB0E275" w:rsidR="00E6571D" w:rsidRPr="00AE6263" w:rsidRDefault="00E6571D" w:rsidP="00AE6263">
      <w:r>
        <w:t xml:space="preserve">27 March: </w:t>
      </w:r>
      <w:r w:rsidRPr="00E6571D">
        <w:t xml:space="preserve">Turkish authorities </w:t>
      </w:r>
      <w:hyperlink r:id="rId23" w:history="1">
        <w:r w:rsidRPr="00E6571D">
          <w:rPr>
            <w:rStyle w:val="Hyperlink"/>
          </w:rPr>
          <w:t xml:space="preserve">detained </w:t>
        </w:r>
      </w:hyperlink>
      <w:proofErr w:type="spellStart"/>
      <w:r w:rsidRPr="00E6571D">
        <w:t>Uşak</w:t>
      </w:r>
      <w:proofErr w:type="spellEnd"/>
      <w:r w:rsidRPr="00E6571D">
        <w:t xml:space="preserve"> Mayor Özkan </w:t>
      </w:r>
      <w:proofErr w:type="spellStart"/>
      <w:r w:rsidRPr="00E6571D">
        <w:t>Yalım</w:t>
      </w:r>
      <w:proofErr w:type="spellEnd"/>
      <w:r w:rsidRPr="00E6571D">
        <w:t xml:space="preserve"> and 10 others in a bribery investigation, part of an expanding legal crackdown targeting opposition CHP-run municipalities</w:t>
      </w:r>
      <w:r>
        <w:t>.</w:t>
      </w:r>
    </w:p>
    <w:p w14:paraId="71BA6226" w14:textId="1B83721F" w:rsidR="002727FC" w:rsidRDefault="002727FC" w:rsidP="00173366">
      <w:pPr>
        <w:pStyle w:val="Heading1"/>
      </w:pPr>
      <w:r>
        <w:t>KURDISH MINORITY</w:t>
      </w:r>
    </w:p>
    <w:p w14:paraId="0A72C25F" w14:textId="4ED48896" w:rsidR="00E6571D" w:rsidRPr="00E6571D" w:rsidRDefault="00E6571D" w:rsidP="00E6571D">
      <w:r>
        <w:t xml:space="preserve">27 March: </w:t>
      </w:r>
      <w:r w:rsidRPr="00E6571D">
        <w:t xml:space="preserve">Turkey’s Constitutional Court </w:t>
      </w:r>
      <w:hyperlink r:id="rId24" w:history="1">
        <w:r w:rsidRPr="00E6571D">
          <w:rPr>
            <w:rStyle w:val="Hyperlink"/>
          </w:rPr>
          <w:t xml:space="preserve">ruled </w:t>
        </w:r>
      </w:hyperlink>
      <w:r w:rsidRPr="00E6571D">
        <w:t>that security forces violated the right to life and human dignity of Hacı Lokman Birlik, a Kurdish man killed in 2015 whose body was dragged behind an armored vehicle, in a case highlighting longstanding impunity concerns.</w:t>
      </w:r>
    </w:p>
    <w:p w14:paraId="42D506E1" w14:textId="599E556E" w:rsidR="00000437" w:rsidRDefault="00CA592E" w:rsidP="00000437">
      <w:pPr>
        <w:pStyle w:val="Heading1"/>
      </w:pPr>
      <w:r>
        <w:t>PRISON CONDITIONS</w:t>
      </w:r>
    </w:p>
    <w:p w14:paraId="648BF0BD" w14:textId="24550E8E" w:rsidR="000F3C0E" w:rsidRDefault="000F3C0E" w:rsidP="00E6571D">
      <w:r>
        <w:t xml:space="preserve">23 March: </w:t>
      </w:r>
      <w:r w:rsidRPr="000F3C0E">
        <w:t xml:space="preserve">A CİSST report </w:t>
      </w:r>
      <w:hyperlink r:id="rId25" w:history="1">
        <w:r w:rsidRPr="000F3C0E">
          <w:rPr>
            <w:rStyle w:val="Hyperlink"/>
          </w:rPr>
          <w:t xml:space="preserve">revealed </w:t>
        </w:r>
      </w:hyperlink>
      <w:r w:rsidRPr="000F3C0E">
        <w:t>worsening prison overcrowding in Turkey, with nearly 900 young children living behind bars with their mothers because of rising incarceration rates and limited alternatives to detention.</w:t>
      </w:r>
    </w:p>
    <w:p w14:paraId="145FEDE0" w14:textId="4AA98624" w:rsidR="00E6571D" w:rsidRPr="00E6571D" w:rsidRDefault="00E6571D" w:rsidP="00E6571D">
      <w:r>
        <w:t>26 March:</w:t>
      </w:r>
      <w:r w:rsidRPr="00E6571D">
        <w:t xml:space="preserve"> Bar associations in Turkey </w:t>
      </w:r>
      <w:hyperlink r:id="rId26" w:history="1">
        <w:r w:rsidRPr="00E6571D">
          <w:rPr>
            <w:rStyle w:val="Hyperlink"/>
          </w:rPr>
          <w:t xml:space="preserve">warned </w:t>
        </w:r>
      </w:hyperlink>
      <w:r w:rsidRPr="00E6571D">
        <w:t>that the Justice Ministry’s new e-</w:t>
      </w:r>
      <w:proofErr w:type="spellStart"/>
      <w:r w:rsidRPr="00E6571D">
        <w:t>Avukat</w:t>
      </w:r>
      <w:proofErr w:type="spellEnd"/>
      <w:r w:rsidRPr="00E6571D">
        <w:t xml:space="preserve"> video call system risks violating confidentiality and fair trial rights because calls may be visually monitored and replace essential private, in-person lawyer-client meetings.</w:t>
      </w:r>
    </w:p>
    <w:p w14:paraId="7E53EDB1" w14:textId="2F492C82" w:rsidR="00EF16C9" w:rsidRDefault="00565021" w:rsidP="002B3B4B">
      <w:pPr>
        <w:pStyle w:val="Heading1"/>
      </w:pPr>
      <w:r>
        <w:t>TORTURE AND ILL-TREATMENT</w:t>
      </w:r>
    </w:p>
    <w:p w14:paraId="6238FF8A" w14:textId="31E253D0" w:rsidR="000F3C0E" w:rsidRDefault="000F3C0E" w:rsidP="00E6571D">
      <w:r>
        <w:t xml:space="preserve">26 March: </w:t>
      </w:r>
      <w:r w:rsidRPr="000F3C0E">
        <w:t xml:space="preserve">The Human Rights Association </w:t>
      </w:r>
      <w:hyperlink r:id="rId27" w:history="1">
        <w:r w:rsidRPr="000F3C0E">
          <w:rPr>
            <w:rStyle w:val="Hyperlink"/>
          </w:rPr>
          <w:t xml:space="preserve">called </w:t>
        </w:r>
      </w:hyperlink>
      <w:r w:rsidRPr="000F3C0E">
        <w:t>for the release of a 74-year-old seriously ill inmate</w:t>
      </w:r>
      <w:r w:rsidR="002565BA">
        <w:t>, Mehmet Emin Çam,</w:t>
      </w:r>
      <w:r w:rsidRPr="000F3C0E">
        <w:t xml:space="preserve"> because his life-threatening conditions have worsened in prison despite repeated refusals to suspend his sentence based on disputed medical assessments.</w:t>
      </w:r>
    </w:p>
    <w:p w14:paraId="644E236C" w14:textId="1BCEA913" w:rsidR="00E6571D" w:rsidRPr="00E6571D" w:rsidRDefault="00E6571D" w:rsidP="00E6571D">
      <w:r>
        <w:t xml:space="preserve">27 March: </w:t>
      </w:r>
      <w:r w:rsidRPr="00E6571D">
        <w:t xml:space="preserve">Authorities in Turkey </w:t>
      </w:r>
      <w:hyperlink r:id="rId28" w:history="1">
        <w:r w:rsidRPr="00E6571D">
          <w:rPr>
            <w:rStyle w:val="Hyperlink"/>
          </w:rPr>
          <w:t xml:space="preserve">kept </w:t>
        </w:r>
      </w:hyperlink>
      <w:r w:rsidRPr="00E6571D">
        <w:t>a severely ill prisoner</w:t>
      </w:r>
      <w:r>
        <w:t>, Mehmet Gürler,</w:t>
      </w:r>
      <w:r w:rsidRPr="00E6571D">
        <w:t xml:space="preserve"> with advanced multiple sclerosis behind bars despite two forensic medical reports deeming him unfit for detention, after a prosecutor rejected his release citing public safety concerns.</w:t>
      </w:r>
    </w:p>
    <w:p w14:paraId="17A57055" w14:textId="0C021819" w:rsidR="002B3B4B" w:rsidRDefault="000F3C0E" w:rsidP="002B3B4B">
      <w:pPr>
        <w:pStyle w:val="Heading1"/>
      </w:pPr>
      <w:r>
        <w:t>GENDER</w:t>
      </w:r>
      <w:r w:rsidR="002B3B4B">
        <w:t xml:space="preserve"> RIGHTS</w:t>
      </w:r>
    </w:p>
    <w:p w14:paraId="6CCEA8A8" w14:textId="774922A5" w:rsidR="000F3C0E" w:rsidRPr="000F3C0E" w:rsidRDefault="000F3C0E" w:rsidP="000F3C0E">
      <w:r>
        <w:t>25 March:</w:t>
      </w:r>
      <w:r w:rsidRPr="000F3C0E">
        <w:t xml:space="preserve"> Turkey’s Health Ministry </w:t>
      </w:r>
      <w:hyperlink r:id="rId29" w:history="1">
        <w:r w:rsidRPr="000F3C0E">
          <w:rPr>
            <w:rStyle w:val="Hyperlink"/>
          </w:rPr>
          <w:t xml:space="preserve">dismissed </w:t>
        </w:r>
      </w:hyperlink>
      <w:r w:rsidRPr="000F3C0E">
        <w:t>a transgender doctor despite a court-ordered reinstatement because of alleged “immorality” and social media activity, raising concerns over discrimination and disregard for judicial rulings.</w:t>
      </w:r>
    </w:p>
    <w:sectPr w:rsidR="000F3C0E" w:rsidRPr="000F3C0E" w:rsidSect="00DA772E">
      <w:type w:val="continuous"/>
      <w:pgSz w:w="12240" w:h="15840"/>
      <w:pgMar w:top="792" w:right="720" w:bottom="720" w:left="720" w:header="720" w:footer="720" w:gutter="0"/>
      <w:cols w:num="2"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6C9E303" w14:textId="77777777" w:rsidR="00882D4D" w:rsidRDefault="00882D4D">
      <w:pPr>
        <w:spacing w:after="0" w:line="240" w:lineRule="auto"/>
      </w:pPr>
      <w:r>
        <w:separator/>
      </w:r>
    </w:p>
  </w:endnote>
  <w:endnote w:type="continuationSeparator" w:id="0">
    <w:p w14:paraId="081C3F7B" w14:textId="77777777" w:rsidR="00882D4D" w:rsidRDefault="00882D4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Georgia">
    <w:altName w:val="﷽﷽﷽﷽﷽﷽﷽﷽邧蛛楕끰̦怀"/>
    <w:panose1 w:val="02040502050405020303"/>
    <w:charset w:val="00"/>
    <w:family w:val="roman"/>
    <w:pitch w:val="variable"/>
    <w:sig w:usb0="00000287" w:usb1="00000000" w:usb2="00000000" w:usb3="00000000" w:csb0="0000009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2896241" w14:textId="77777777" w:rsidR="00882D4D" w:rsidRDefault="00882D4D">
      <w:pPr>
        <w:spacing w:after="0" w:line="240" w:lineRule="auto"/>
      </w:pPr>
      <w:r>
        <w:separator/>
      </w:r>
    </w:p>
  </w:footnote>
  <w:footnote w:type="continuationSeparator" w:id="0">
    <w:p w14:paraId="634E9F55" w14:textId="77777777" w:rsidR="00882D4D" w:rsidRDefault="00882D4D">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2"/>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313A1F"/>
    <w:rsid w:val="00000437"/>
    <w:rsid w:val="000417E8"/>
    <w:rsid w:val="000511E6"/>
    <w:rsid w:val="000B2C9C"/>
    <w:rsid w:val="000C39A5"/>
    <w:rsid w:val="000F1DCB"/>
    <w:rsid w:val="000F3C0E"/>
    <w:rsid w:val="0010354C"/>
    <w:rsid w:val="00104100"/>
    <w:rsid w:val="001074FC"/>
    <w:rsid w:val="00137B19"/>
    <w:rsid w:val="00160DF8"/>
    <w:rsid w:val="001716F4"/>
    <w:rsid w:val="00173366"/>
    <w:rsid w:val="001A3DF9"/>
    <w:rsid w:val="001E7F57"/>
    <w:rsid w:val="001F683C"/>
    <w:rsid w:val="00211620"/>
    <w:rsid w:val="00223E80"/>
    <w:rsid w:val="00246264"/>
    <w:rsid w:val="002565BA"/>
    <w:rsid w:val="002727FC"/>
    <w:rsid w:val="00293F76"/>
    <w:rsid w:val="002B28BA"/>
    <w:rsid w:val="002B3B4B"/>
    <w:rsid w:val="002D31AB"/>
    <w:rsid w:val="002E3F79"/>
    <w:rsid w:val="00313A1F"/>
    <w:rsid w:val="003216CE"/>
    <w:rsid w:val="003229D2"/>
    <w:rsid w:val="00330782"/>
    <w:rsid w:val="003A450A"/>
    <w:rsid w:val="003B6075"/>
    <w:rsid w:val="003B62DC"/>
    <w:rsid w:val="004012B0"/>
    <w:rsid w:val="00457DA9"/>
    <w:rsid w:val="004646FE"/>
    <w:rsid w:val="004930B7"/>
    <w:rsid w:val="004D46A3"/>
    <w:rsid w:val="004F09E4"/>
    <w:rsid w:val="00525D94"/>
    <w:rsid w:val="00536F7E"/>
    <w:rsid w:val="0054016A"/>
    <w:rsid w:val="00565021"/>
    <w:rsid w:val="005923A1"/>
    <w:rsid w:val="005F669F"/>
    <w:rsid w:val="006275D1"/>
    <w:rsid w:val="006936F8"/>
    <w:rsid w:val="006F1FC9"/>
    <w:rsid w:val="007140E5"/>
    <w:rsid w:val="007244D7"/>
    <w:rsid w:val="00744F74"/>
    <w:rsid w:val="00770FFD"/>
    <w:rsid w:val="00787276"/>
    <w:rsid w:val="00796B3B"/>
    <w:rsid w:val="007E795C"/>
    <w:rsid w:val="00825D55"/>
    <w:rsid w:val="00853212"/>
    <w:rsid w:val="00882D4D"/>
    <w:rsid w:val="0089073A"/>
    <w:rsid w:val="008956E6"/>
    <w:rsid w:val="00920D42"/>
    <w:rsid w:val="009220E9"/>
    <w:rsid w:val="00A014C7"/>
    <w:rsid w:val="00A22E1B"/>
    <w:rsid w:val="00A77F3B"/>
    <w:rsid w:val="00A82319"/>
    <w:rsid w:val="00AA1541"/>
    <w:rsid w:val="00AE6263"/>
    <w:rsid w:val="00B12997"/>
    <w:rsid w:val="00B21F8A"/>
    <w:rsid w:val="00B626EF"/>
    <w:rsid w:val="00B678A0"/>
    <w:rsid w:val="00BB2A7C"/>
    <w:rsid w:val="00BD1A03"/>
    <w:rsid w:val="00BE51B1"/>
    <w:rsid w:val="00BE707C"/>
    <w:rsid w:val="00BF68F2"/>
    <w:rsid w:val="00C10163"/>
    <w:rsid w:val="00C22638"/>
    <w:rsid w:val="00C91184"/>
    <w:rsid w:val="00CA592E"/>
    <w:rsid w:val="00CD3F20"/>
    <w:rsid w:val="00D15A1D"/>
    <w:rsid w:val="00D458DD"/>
    <w:rsid w:val="00D64FAF"/>
    <w:rsid w:val="00D9431C"/>
    <w:rsid w:val="00DA772E"/>
    <w:rsid w:val="00DB38F6"/>
    <w:rsid w:val="00DC71EA"/>
    <w:rsid w:val="00DD69E1"/>
    <w:rsid w:val="00DF24CE"/>
    <w:rsid w:val="00E37667"/>
    <w:rsid w:val="00E5319A"/>
    <w:rsid w:val="00E56D58"/>
    <w:rsid w:val="00E6571D"/>
    <w:rsid w:val="00E76A83"/>
    <w:rsid w:val="00E836C5"/>
    <w:rsid w:val="00E837EB"/>
    <w:rsid w:val="00E967E3"/>
    <w:rsid w:val="00EB0A73"/>
    <w:rsid w:val="00ED12A3"/>
    <w:rsid w:val="00EE471D"/>
    <w:rsid w:val="00EE4D4B"/>
    <w:rsid w:val="00EF16C9"/>
    <w:rsid w:val="00F179CA"/>
    <w:rsid w:val="00F36FB0"/>
    <w:rsid w:val="00F400D1"/>
    <w:rsid w:val="00F7627F"/>
    <w:rsid w:val="00F94300"/>
    <w:rsid w:val="00FA54C2"/>
    <w:rsid w:val="00FD3BAF"/>
    <w:rsid w:val="00FE1B6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7B02F93"/>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color w:val="404040" w:themeColor="text1" w:themeTint="BF"/>
        <w:kern w:val="2"/>
        <w:lang w:val="en-US" w:eastAsia="ja-JP" w:bidi="ar-SA"/>
        <w14:ligatures w14:val="standard"/>
      </w:rPr>
    </w:rPrDefault>
    <w:pPrDefault>
      <w:pPr>
        <w:spacing w:after="200" w:line="300"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3"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index heading" w:semiHidden="1" w:unhideWhenUsed="1"/>
    <w:lsdException w:name="caption" w:semiHidden="1" w:uiPriority="3"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iPriority="3" w:unhideWhenUsed="1" w:qFormat="1"/>
    <w:lsdException w:name="Hyperlink" w:semiHidden="1" w:unhideWhenUsed="1"/>
    <w:lsdException w:name="FollowedHyperlink" w:semiHidden="1" w:unhideWhenUsed="1"/>
    <w:lsdException w:name="Strong" w:semiHidden="1" w:uiPriority="22" w:unhideWhenUsed="1" w:qFormat="1"/>
    <w:lsdException w:name="Emphasis" w:semiHidden="1" w:uiPriority="20" w:unhideWhenUsed="1"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semiHidden="1" w:uiPriority="98"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semiHidden="1" w:uiPriority="34" w:unhideWhenUsed="1" w:qFormat="1"/>
    <w:lsdException w:name="Quote" w:uiPriority="29" w:qFormat="1"/>
    <w:lsdException w:name="Intense Quote" w:semiHidden="1" w:uiPriority="30" w:unhideWhenUsed="1"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semiHidden="1" w:uiPriority="19" w:unhideWhenUsed="1" w:qFormat="1"/>
    <w:lsdException w:name="Intense Emphasis" w:semiHidden="1" w:uiPriority="21" w:unhideWhenUsed="1" w:qFormat="1"/>
    <w:lsdException w:name="Subtle Reference" w:semiHidden="1" w:uiPriority="31" w:unhideWhenUsed="1" w:qFormat="1"/>
    <w:lsdException w:name="Intense Reference" w:semiHidden="1" w:uiPriority="32" w:unhideWhenUsed="1" w:qFormat="1"/>
    <w:lsdException w:name="Book Title" w:semiHidden="1" w:uiPriority="33" w:unhideWhenUsed="1"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DC71EA"/>
    <w:rPr>
      <w:rFonts w:ascii="Cambria" w:hAnsi="Cambria"/>
    </w:rPr>
  </w:style>
  <w:style w:type="paragraph" w:styleId="Heading1">
    <w:name w:val="heading 1"/>
    <w:basedOn w:val="Normal"/>
    <w:next w:val="Normal"/>
    <w:link w:val="Heading1Char"/>
    <w:uiPriority w:val="3"/>
    <w:qFormat/>
    <w:pPr>
      <w:keepNext/>
      <w:keepLines/>
      <w:spacing w:before="360" w:after="140"/>
      <w:outlineLvl w:val="0"/>
    </w:pPr>
    <w:rPr>
      <w:rFonts w:eastAsiaTheme="majorEastAsia" w:cstheme="majorBidi"/>
      <w:b/>
      <w:bCs/>
      <w:caps/>
      <w:color w:val="AF4E12" w:themeColor="accent1" w:themeShade="BF"/>
      <w:sz w:val="24"/>
    </w:rPr>
  </w:style>
  <w:style w:type="paragraph" w:styleId="Heading2">
    <w:name w:val="heading 2"/>
    <w:basedOn w:val="Normal"/>
    <w:next w:val="Normal"/>
    <w:link w:val="Heading2Char"/>
    <w:uiPriority w:val="3"/>
    <w:unhideWhenUsed/>
    <w:qFormat/>
    <w:pPr>
      <w:keepNext/>
      <w:keepLines/>
      <w:spacing w:before="200" w:after="120" w:line="240" w:lineRule="auto"/>
      <w:outlineLvl w:val="1"/>
    </w:pPr>
    <w:rPr>
      <w:rFonts w:eastAsiaTheme="majorEastAsia" w:cstheme="majorBidi"/>
      <w:color w:val="AF4E12" w:themeColor="accent1" w:themeShade="BF"/>
      <w:sz w:val="24"/>
    </w:rPr>
  </w:style>
  <w:style w:type="paragraph" w:styleId="Heading3">
    <w:name w:val="heading 3"/>
    <w:basedOn w:val="Normal"/>
    <w:next w:val="Normal"/>
    <w:link w:val="Heading3Char"/>
    <w:uiPriority w:val="3"/>
    <w:unhideWhenUsed/>
    <w:qFormat/>
    <w:pPr>
      <w:keepNext/>
      <w:keepLines/>
      <w:spacing w:before="120" w:after="0"/>
      <w:outlineLvl w:val="2"/>
    </w:pPr>
    <w:rPr>
      <w:b/>
      <w:bCs/>
    </w:rPr>
  </w:style>
  <w:style w:type="paragraph" w:styleId="Heading4">
    <w:name w:val="heading 4"/>
    <w:basedOn w:val="Normal"/>
    <w:next w:val="Normal"/>
    <w:link w:val="Heading4Char"/>
    <w:uiPriority w:val="3"/>
    <w:semiHidden/>
    <w:unhideWhenUsed/>
    <w:qFormat/>
    <w:pPr>
      <w:keepNext/>
      <w:keepLines/>
      <w:spacing w:before="160" w:after="0"/>
      <w:outlineLvl w:val="3"/>
    </w:pPr>
    <w:rPr>
      <w:rFonts w:eastAsiaTheme="majorEastAsia" w:cstheme="majorBidi"/>
    </w:rPr>
  </w:style>
  <w:style w:type="paragraph" w:styleId="Heading5">
    <w:name w:val="heading 5"/>
    <w:basedOn w:val="Normal"/>
    <w:next w:val="Normal"/>
    <w:link w:val="Heading5Char"/>
    <w:uiPriority w:val="9"/>
    <w:semiHidden/>
    <w:unhideWhenUsed/>
    <w:qFormat/>
    <w:pPr>
      <w:keepNext/>
      <w:keepLines/>
      <w:spacing w:before="40" w:after="0"/>
      <w:outlineLvl w:val="4"/>
    </w:pPr>
    <w:rPr>
      <w:rFonts w:eastAsiaTheme="majorEastAsia" w:cstheme="majorBidi"/>
      <w:color w:val="AF4E12"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Pr>
      <w:color w:val="808080"/>
    </w:rPr>
  </w:style>
  <w:style w:type="paragraph" w:styleId="Title">
    <w:name w:val="Title"/>
    <w:basedOn w:val="Normal"/>
    <w:link w:val="TitleChar"/>
    <w:uiPriority w:val="1"/>
    <w:qFormat/>
    <w:pPr>
      <w:spacing w:before="120" w:after="0" w:line="204" w:lineRule="auto"/>
      <w:contextualSpacing/>
    </w:pPr>
    <w:rPr>
      <w:rFonts w:eastAsiaTheme="majorEastAsia" w:cstheme="majorBidi"/>
      <w:b/>
      <w:bCs/>
      <w:caps/>
      <w:kern w:val="28"/>
      <w:sz w:val="78"/>
    </w:rPr>
  </w:style>
  <w:style w:type="character" w:customStyle="1" w:styleId="TitleChar">
    <w:name w:val="Title Char"/>
    <w:basedOn w:val="DefaultParagraphFont"/>
    <w:link w:val="Title"/>
    <w:uiPriority w:val="1"/>
    <w:rPr>
      <w:rFonts w:asciiTheme="majorHAnsi" w:eastAsiaTheme="majorEastAsia" w:hAnsiTheme="majorHAnsi" w:cstheme="majorBidi"/>
      <w:b/>
      <w:bCs/>
      <w:caps/>
      <w:kern w:val="28"/>
      <w:sz w:val="78"/>
    </w:rPr>
  </w:style>
  <w:style w:type="paragraph" w:styleId="Subtitle">
    <w:name w:val="Subtitle"/>
    <w:basedOn w:val="Normal"/>
    <w:link w:val="SubtitleChar"/>
    <w:uiPriority w:val="2"/>
    <w:qFormat/>
    <w:pPr>
      <w:numPr>
        <w:ilvl w:val="1"/>
      </w:numPr>
      <w:spacing w:before="240" w:after="600" w:line="240" w:lineRule="auto"/>
    </w:pPr>
    <w:rPr>
      <w:rFonts w:eastAsiaTheme="majorEastAsia" w:cstheme="majorBidi"/>
      <w:color w:val="5A5A5A" w:themeColor="text1" w:themeTint="A5"/>
      <w:sz w:val="24"/>
    </w:rPr>
  </w:style>
  <w:style w:type="character" w:customStyle="1" w:styleId="SubtitleChar">
    <w:name w:val="Subtitle Char"/>
    <w:basedOn w:val="DefaultParagraphFont"/>
    <w:link w:val="Subtitle"/>
    <w:uiPriority w:val="2"/>
    <w:rPr>
      <w:rFonts w:asciiTheme="majorHAnsi" w:eastAsiaTheme="majorEastAsia" w:hAnsiTheme="majorHAnsi" w:cstheme="majorBidi"/>
      <w:color w:val="5A5A5A" w:themeColor="text1" w:themeTint="A5"/>
      <w:sz w:val="24"/>
    </w:rPr>
  </w:style>
  <w:style w:type="table" w:styleId="TableGrid">
    <w:name w:val="Table Grid"/>
    <w:basedOn w:val="TableNormal"/>
    <w:uiPriority w:val="3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3"/>
    <w:rPr>
      <w:rFonts w:asciiTheme="majorHAnsi" w:eastAsiaTheme="majorEastAsia" w:hAnsiTheme="majorHAnsi" w:cstheme="majorBidi"/>
      <w:b/>
      <w:bCs/>
      <w:caps/>
      <w:color w:val="AF4E12" w:themeColor="accent1" w:themeShade="BF"/>
      <w:sz w:val="24"/>
    </w:rPr>
  </w:style>
  <w:style w:type="paragraph" w:customStyle="1" w:styleId="BlockHeading">
    <w:name w:val="Block Heading"/>
    <w:basedOn w:val="Normal"/>
    <w:next w:val="BlockText"/>
    <w:uiPriority w:val="3"/>
    <w:qFormat/>
    <w:pPr>
      <w:spacing w:after="180" w:line="216" w:lineRule="auto"/>
      <w:ind w:left="288" w:right="288"/>
    </w:pPr>
    <w:rPr>
      <w:rFonts w:eastAsiaTheme="majorEastAsia" w:cstheme="majorBidi"/>
      <w:b/>
      <w:bCs/>
      <w:caps/>
      <w:color w:val="FFFFFF" w:themeColor="background1"/>
      <w:sz w:val="28"/>
    </w:rPr>
  </w:style>
  <w:style w:type="paragraph" w:styleId="Caption">
    <w:name w:val="caption"/>
    <w:basedOn w:val="Normal"/>
    <w:next w:val="Normal"/>
    <w:uiPriority w:val="3"/>
    <w:unhideWhenUsed/>
    <w:qFormat/>
    <w:pPr>
      <w:spacing w:before="120" w:after="0" w:line="240" w:lineRule="auto"/>
    </w:pPr>
    <w:rPr>
      <w:i/>
      <w:iCs/>
      <w:color w:val="595959" w:themeColor="text1" w:themeTint="A6"/>
      <w:sz w:val="18"/>
    </w:rPr>
  </w:style>
  <w:style w:type="paragraph" w:styleId="BlockText">
    <w:name w:val="Block Text"/>
    <w:basedOn w:val="Normal"/>
    <w:uiPriority w:val="3"/>
    <w:unhideWhenUsed/>
    <w:qFormat/>
    <w:pPr>
      <w:spacing w:after="180" w:line="312" w:lineRule="auto"/>
      <w:ind w:left="288" w:right="288"/>
    </w:pPr>
    <w:rPr>
      <w:color w:val="FFFFFF" w:themeColor="background1"/>
      <w:sz w:val="22"/>
    </w:rPr>
  </w:style>
  <w:style w:type="character" w:customStyle="1" w:styleId="Heading2Char">
    <w:name w:val="Heading 2 Char"/>
    <w:basedOn w:val="DefaultParagraphFont"/>
    <w:link w:val="Heading2"/>
    <w:uiPriority w:val="3"/>
    <w:rPr>
      <w:rFonts w:asciiTheme="majorHAnsi" w:eastAsiaTheme="majorEastAsia" w:hAnsiTheme="majorHAnsi" w:cstheme="majorBidi"/>
      <w:color w:val="AF4E12" w:themeColor="accent1" w:themeShade="BF"/>
      <w:sz w:val="24"/>
    </w:rPr>
  </w:style>
  <w:style w:type="character" w:customStyle="1" w:styleId="Heading3Char">
    <w:name w:val="Heading 3 Char"/>
    <w:basedOn w:val="DefaultParagraphFont"/>
    <w:link w:val="Heading3"/>
    <w:uiPriority w:val="3"/>
    <w:rPr>
      <w:b/>
      <w:bCs/>
    </w:rPr>
  </w:style>
  <w:style w:type="paragraph" w:styleId="Quote">
    <w:name w:val="Quote"/>
    <w:basedOn w:val="Normal"/>
    <w:next w:val="Normal"/>
    <w:link w:val="QuoteChar"/>
    <w:uiPriority w:val="3"/>
    <w:qFormat/>
    <w:pPr>
      <w:pBdr>
        <w:top w:val="single" w:sz="6" w:space="4" w:color="AF4E12" w:themeColor="accent1" w:themeShade="BF"/>
        <w:bottom w:val="single" w:sz="6" w:space="4" w:color="AF4E12" w:themeColor="accent1" w:themeShade="BF"/>
      </w:pBdr>
      <w:spacing w:before="200"/>
      <w:ind w:left="864" w:right="864"/>
      <w:jc w:val="center"/>
    </w:pPr>
    <w:rPr>
      <w:i/>
      <w:iCs/>
      <w:sz w:val="28"/>
    </w:rPr>
  </w:style>
  <w:style w:type="character" w:customStyle="1" w:styleId="QuoteChar">
    <w:name w:val="Quote Char"/>
    <w:basedOn w:val="DefaultParagraphFont"/>
    <w:link w:val="Quote"/>
    <w:uiPriority w:val="3"/>
    <w:rPr>
      <w:i/>
      <w:iCs/>
      <w:sz w:val="28"/>
    </w:rPr>
  </w:style>
  <w:style w:type="character" w:customStyle="1" w:styleId="Heading4Char">
    <w:name w:val="Heading 4 Char"/>
    <w:basedOn w:val="DefaultParagraphFont"/>
    <w:link w:val="Heading4"/>
    <w:uiPriority w:val="3"/>
    <w:semiHidden/>
    <w:rPr>
      <w:rFonts w:asciiTheme="majorHAnsi" w:eastAsiaTheme="majorEastAsia" w:hAnsiTheme="majorHAnsi" w:cstheme="majorBidi"/>
    </w:rPr>
  </w:style>
  <w:style w:type="paragraph" w:customStyle="1" w:styleId="ContactInfo">
    <w:name w:val="Contact Info"/>
    <w:basedOn w:val="Normal"/>
    <w:uiPriority w:val="5"/>
    <w:qFormat/>
    <w:pPr>
      <w:spacing w:after="0"/>
    </w:pPr>
  </w:style>
  <w:style w:type="paragraph" w:customStyle="1" w:styleId="ContactHeading">
    <w:name w:val="Contact Heading"/>
    <w:basedOn w:val="Normal"/>
    <w:uiPriority w:val="4"/>
    <w:qFormat/>
    <w:pPr>
      <w:spacing w:before="320" w:line="240" w:lineRule="auto"/>
    </w:pPr>
    <w:rPr>
      <w:rFonts w:eastAsiaTheme="majorEastAsia" w:cstheme="majorBidi"/>
      <w:color w:val="AF4E12" w:themeColor="accent1" w:themeShade="BF"/>
      <w:sz w:val="24"/>
    </w:rPr>
  </w:style>
  <w:style w:type="character" w:styleId="CommentReference">
    <w:name w:val="annotation reference"/>
    <w:basedOn w:val="DefaultParagraphFont"/>
    <w:uiPriority w:val="99"/>
    <w:semiHidden/>
    <w:unhideWhenUsed/>
    <w:rPr>
      <w:sz w:val="16"/>
      <w:szCs w:val="16"/>
    </w:rPr>
  </w:style>
  <w:style w:type="paragraph" w:styleId="BalloonText">
    <w:name w:val="Balloon Text"/>
    <w:basedOn w:val="Normal"/>
    <w:link w:val="BalloonTextChar"/>
    <w:uiPriority w:val="99"/>
    <w:semiHidden/>
    <w:unhideWhenUsed/>
    <w:pPr>
      <w:spacing w:after="0" w:line="240" w:lineRule="auto"/>
    </w:pPr>
    <w:rPr>
      <w:rFonts w:ascii="Segoe UI" w:hAnsi="Segoe UI" w:cs="Segoe UI"/>
      <w:sz w:val="18"/>
    </w:rPr>
  </w:style>
  <w:style w:type="character" w:customStyle="1" w:styleId="BalloonTextChar">
    <w:name w:val="Balloon Text Char"/>
    <w:basedOn w:val="DefaultParagraphFont"/>
    <w:link w:val="BalloonText"/>
    <w:uiPriority w:val="99"/>
    <w:semiHidden/>
    <w:rPr>
      <w:rFonts w:ascii="Segoe UI" w:hAnsi="Segoe UI" w:cs="Segoe UI"/>
      <w:sz w:val="18"/>
    </w:rPr>
  </w:style>
  <w:style w:type="paragraph" w:styleId="CommentText">
    <w:name w:val="annotation text"/>
    <w:basedOn w:val="Normal"/>
    <w:link w:val="CommentTextChar"/>
    <w:uiPriority w:val="99"/>
    <w:semiHidden/>
    <w:unhideWhenUsed/>
    <w:pPr>
      <w:spacing w:after="160" w:line="240" w:lineRule="auto"/>
    </w:pPr>
    <w:rPr>
      <w:color w:val="auto"/>
      <w:kern w:val="0"/>
      <w:lang w:eastAsia="en-US"/>
      <w14:ligatures w14:val="none"/>
    </w:rPr>
  </w:style>
  <w:style w:type="character" w:customStyle="1" w:styleId="CommentTextChar">
    <w:name w:val="Comment Text Char"/>
    <w:basedOn w:val="DefaultParagraphFont"/>
    <w:link w:val="CommentText"/>
    <w:uiPriority w:val="99"/>
    <w:semiHidden/>
    <w:rPr>
      <w:color w:val="auto"/>
      <w:kern w:val="0"/>
      <w:lang w:eastAsia="en-US"/>
      <w14:ligatures w14:val="none"/>
    </w:rPr>
  </w:style>
  <w:style w:type="paragraph" w:customStyle="1" w:styleId="Organization">
    <w:name w:val="Organization"/>
    <w:basedOn w:val="Normal"/>
    <w:uiPriority w:val="7"/>
    <w:qFormat/>
    <w:pPr>
      <w:spacing w:after="0"/>
    </w:pPr>
    <w:rPr>
      <w:rFonts w:eastAsiaTheme="majorEastAsia" w:cstheme="majorBidi"/>
      <w:b/>
      <w:bCs/>
      <w:caps/>
      <w:color w:val="AF4E12" w:themeColor="accent1" w:themeShade="BF"/>
      <w:sz w:val="22"/>
    </w:rPr>
  </w:style>
  <w:style w:type="character" w:customStyle="1" w:styleId="Heading5Char">
    <w:name w:val="Heading 5 Char"/>
    <w:basedOn w:val="DefaultParagraphFont"/>
    <w:link w:val="Heading5"/>
    <w:uiPriority w:val="9"/>
    <w:semiHidden/>
    <w:rPr>
      <w:rFonts w:asciiTheme="majorHAnsi" w:eastAsiaTheme="majorEastAsia" w:hAnsiTheme="majorHAnsi" w:cstheme="majorBidi"/>
      <w:color w:val="AF4E12" w:themeColor="accent1" w:themeShade="BF"/>
    </w:rPr>
  </w:style>
  <w:style w:type="character" w:styleId="IntenseEmphasis">
    <w:name w:val="Intense Emphasis"/>
    <w:basedOn w:val="DefaultParagraphFont"/>
    <w:uiPriority w:val="21"/>
    <w:semiHidden/>
    <w:unhideWhenUsed/>
    <w:qFormat/>
    <w:rPr>
      <w:i/>
      <w:iCs/>
      <w:color w:val="AF4E12" w:themeColor="accent1" w:themeShade="BF"/>
    </w:rPr>
  </w:style>
  <w:style w:type="paragraph" w:styleId="IntenseQuote">
    <w:name w:val="Intense Quote"/>
    <w:basedOn w:val="Normal"/>
    <w:next w:val="Normal"/>
    <w:link w:val="IntenseQuoteChar"/>
    <w:uiPriority w:val="30"/>
    <w:semiHidden/>
    <w:unhideWhenUsed/>
    <w:qFormat/>
    <w:pPr>
      <w:pBdr>
        <w:top w:val="single" w:sz="4" w:space="10" w:color="AF4E12" w:themeColor="accent1" w:themeShade="BF"/>
        <w:bottom w:val="single" w:sz="4" w:space="10" w:color="AF4E12" w:themeColor="accent1" w:themeShade="BF"/>
      </w:pBdr>
      <w:spacing w:before="360" w:after="360"/>
      <w:ind w:left="864" w:right="864"/>
      <w:jc w:val="center"/>
    </w:pPr>
    <w:rPr>
      <w:i/>
      <w:iCs/>
      <w:color w:val="AF4E12" w:themeColor="accent1" w:themeShade="BF"/>
    </w:rPr>
  </w:style>
  <w:style w:type="character" w:customStyle="1" w:styleId="IntenseQuoteChar">
    <w:name w:val="Intense Quote Char"/>
    <w:basedOn w:val="DefaultParagraphFont"/>
    <w:link w:val="IntenseQuote"/>
    <w:uiPriority w:val="30"/>
    <w:semiHidden/>
    <w:rPr>
      <w:i/>
      <w:iCs/>
      <w:color w:val="AF4E12" w:themeColor="accent1" w:themeShade="BF"/>
    </w:rPr>
  </w:style>
  <w:style w:type="character" w:styleId="IntenseReference">
    <w:name w:val="Intense Reference"/>
    <w:basedOn w:val="DefaultParagraphFont"/>
    <w:uiPriority w:val="32"/>
    <w:semiHidden/>
    <w:unhideWhenUsed/>
    <w:qFormat/>
    <w:rPr>
      <w:b/>
      <w:bCs/>
      <w:caps w:val="0"/>
      <w:smallCaps/>
      <w:color w:val="AF4E12" w:themeColor="accent1" w:themeShade="BF"/>
      <w:spacing w:val="5"/>
    </w:rPr>
  </w:style>
  <w:style w:type="paragraph" w:styleId="Header">
    <w:name w:val="header"/>
    <w:basedOn w:val="Normal"/>
    <w:link w:val="HeaderChar"/>
    <w:uiPriority w:val="99"/>
    <w:pPr>
      <w:tabs>
        <w:tab w:val="center" w:pos="4680"/>
        <w:tab w:val="right" w:pos="9360"/>
      </w:tabs>
      <w:spacing w:after="0" w:line="240" w:lineRule="auto"/>
    </w:pPr>
  </w:style>
  <w:style w:type="character" w:customStyle="1" w:styleId="HeaderChar">
    <w:name w:val="Header Char"/>
    <w:basedOn w:val="DefaultParagraphFont"/>
    <w:link w:val="Header"/>
    <w:uiPriority w:val="99"/>
  </w:style>
  <w:style w:type="paragraph" w:styleId="Footer">
    <w:name w:val="footer"/>
    <w:basedOn w:val="Normal"/>
    <w:link w:val="FooterChar"/>
    <w:uiPriority w:val="99"/>
    <w:pPr>
      <w:tabs>
        <w:tab w:val="center" w:pos="4680"/>
        <w:tab w:val="right" w:pos="9360"/>
      </w:tabs>
      <w:spacing w:after="0" w:line="240" w:lineRule="auto"/>
    </w:pPr>
  </w:style>
  <w:style w:type="character" w:customStyle="1" w:styleId="FooterChar">
    <w:name w:val="Footer Char"/>
    <w:basedOn w:val="DefaultParagraphFont"/>
    <w:link w:val="Footer"/>
    <w:uiPriority w:val="99"/>
  </w:style>
  <w:style w:type="paragraph" w:customStyle="1" w:styleId="ContactInfoBold">
    <w:name w:val="Contact Info Bold"/>
    <w:basedOn w:val="Normal"/>
    <w:uiPriority w:val="6"/>
    <w:qFormat/>
    <w:pPr>
      <w:spacing w:after="0"/>
    </w:pPr>
    <w:rPr>
      <w:b/>
      <w:noProof/>
    </w:rPr>
  </w:style>
  <w:style w:type="character" w:styleId="Hyperlink">
    <w:name w:val="Hyperlink"/>
    <w:basedOn w:val="DefaultParagraphFont"/>
    <w:uiPriority w:val="99"/>
    <w:unhideWhenUsed/>
    <w:rsid w:val="004646FE"/>
    <w:rPr>
      <w:color w:val="3E84A3" w:themeColor="hyperlink"/>
      <w:u w:val="single"/>
    </w:rPr>
  </w:style>
  <w:style w:type="character" w:styleId="FollowedHyperlink">
    <w:name w:val="FollowedHyperlink"/>
    <w:basedOn w:val="DefaultParagraphFont"/>
    <w:uiPriority w:val="99"/>
    <w:semiHidden/>
    <w:unhideWhenUsed/>
    <w:rsid w:val="00E37667"/>
    <w:rPr>
      <w:color w:val="784869" w:themeColor="followedHyperlink"/>
      <w:u w:val="single"/>
    </w:rPr>
  </w:style>
  <w:style w:type="character" w:styleId="UnresolvedMention">
    <w:name w:val="Unresolved Mention"/>
    <w:basedOn w:val="DefaultParagraphFont"/>
    <w:uiPriority w:val="99"/>
    <w:rsid w:val="00F7627F"/>
    <w:rPr>
      <w:color w:val="605E5C"/>
      <w:shd w:val="clear" w:color="auto" w:fill="E1DFDD"/>
    </w:rPr>
  </w:style>
  <w:style w:type="paragraph" w:styleId="NormalWeb">
    <w:name w:val="Normal (Web)"/>
    <w:basedOn w:val="Normal"/>
    <w:uiPriority w:val="99"/>
    <w:semiHidden/>
    <w:unhideWhenUsed/>
    <w:rsid w:val="000F3C0E"/>
    <w:rPr>
      <w:rFonts w:ascii="Times New Roman" w:hAnsi="Times New Roman" w:cs="Times New Roman"/>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g"/><Relationship Id="rId13" Type="http://schemas.openxmlformats.org/officeDocument/2006/relationships/hyperlink" Target="https://stockholmcf.org/critically-ill-kurdish-prisoner-dies-after-repeated-pleas-for-sentence-suspension/" TargetMode="External"/><Relationship Id="rId18" Type="http://schemas.openxmlformats.org/officeDocument/2006/relationships/hyperlink" Target="https://stockholmcf.org/turkey-again-blocks-youtube-channel-of-dismissed-public-workers-despite-top-court-ruling/" TargetMode="External"/><Relationship Id="rId26" Type="http://schemas.openxmlformats.org/officeDocument/2006/relationships/hyperlink" Target="https://stockholmcf.org/turkish-justice-ministrys-new-prison-video-call-app-threatens-lawyer-client-confidentiality-bar-associations-warn/" TargetMode="External"/><Relationship Id="rId3" Type="http://schemas.openxmlformats.org/officeDocument/2006/relationships/styles" Target="styles.xml"/><Relationship Id="rId21" Type="http://schemas.openxmlformats.org/officeDocument/2006/relationships/hyperlink" Target="https://www.turkishminute.com/2026/03/25/3-land-registry-officials-arrested-in-probe-over-access-to-justice-ministers-property-records/" TargetMode="External"/><Relationship Id="rId7" Type="http://schemas.openxmlformats.org/officeDocument/2006/relationships/endnotes" Target="endnotes.xml"/><Relationship Id="rId12" Type="http://schemas.openxmlformats.org/officeDocument/2006/relationships/hyperlink" Target="https://database.turkeyrightsmonitor.com/en/yuksel-yalcinkaya/" TargetMode="External"/><Relationship Id="rId17" Type="http://schemas.openxmlformats.org/officeDocument/2006/relationships/hyperlink" Target="https://stockholmcf.org/turkey-has-investigated-at-least-70-journalists-under-controversial-disinformation-law-since-2022/" TargetMode="External"/><Relationship Id="rId25" Type="http://schemas.openxmlformats.org/officeDocument/2006/relationships/hyperlink" Target="https://stockholmcf.org/nearly-900-children-under-6-live-in-turkish-prisons-as-overcrowding-exceeds-108000-inmates/" TargetMode="External"/><Relationship Id="rId2" Type="http://schemas.openxmlformats.org/officeDocument/2006/relationships/customXml" Target="../customXml/item2.xml"/><Relationship Id="rId16" Type="http://schemas.openxmlformats.org/officeDocument/2006/relationships/hyperlink" Target="https://www.turkishminute.com/2026/03/24/turkey-detains-170-people-over-kurdish-nevruz-celebrations/" TargetMode="External"/><Relationship Id="rId20" Type="http://schemas.openxmlformats.org/officeDocument/2006/relationships/hyperlink" Target="https://www.turkishminute.com/2026/03/24/court-drops-cases-against-officials-in-turkeys-deadliest-mining-disaster-due-to-statute-of-limitations/" TargetMode="External"/><Relationship Id="rId29" Type="http://schemas.openxmlformats.org/officeDocument/2006/relationships/hyperlink" Target="https://stockholmcf.org/turkey-dismisses-transgender-doctor-again-despite-court-ordered-reinstatemen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stockholmcf.org/turkey-orders-detention-of-9-despite-european-court-ruling-that-messaging-app-use-alone-is-insufficient-for-conviction/" TargetMode="External"/><Relationship Id="rId24" Type="http://schemas.openxmlformats.org/officeDocument/2006/relationships/hyperlink" Target="https://stockholmcf.org/turkeys-top-court-finds-rights-violations-in-killing-of-kurdish-man-dragging-of-his-body-behind-armored-vehicle/" TargetMode="External"/><Relationship Id="rId5" Type="http://schemas.openxmlformats.org/officeDocument/2006/relationships/webSettings" Target="webSettings.xml"/><Relationship Id="rId15" Type="http://schemas.openxmlformats.org/officeDocument/2006/relationships/hyperlink" Target="https://turkeyrightsmonitor.com/en/missing-people" TargetMode="External"/><Relationship Id="rId23" Type="http://schemas.openxmlformats.org/officeDocument/2006/relationships/hyperlink" Target="https://www.turkishminute.com/2026/03/27/mayor-of-western-turkish-city-detained-in-bribery-probe-amid-crackdown-on-main-opposition/" TargetMode="External"/><Relationship Id="rId28" Type="http://schemas.openxmlformats.org/officeDocument/2006/relationships/hyperlink" Target="https://stockholmcf.org/turkish-lawmaker-criticizes-refusal-to-release-seriously-ill-inmate-despite-two-medical-reports/" TargetMode="External"/><Relationship Id="rId10" Type="http://schemas.openxmlformats.org/officeDocument/2006/relationships/hyperlink" Target="https://turkeyrightsmonitor.com/en/mass-detentions" TargetMode="External"/><Relationship Id="rId19" Type="http://schemas.openxmlformats.org/officeDocument/2006/relationships/hyperlink" Target="https://www.turkishminute.com/2026/03/23/jailed-opposition-mayor-faces-up-to-35-years-in-prison/" TargetMode="External"/><Relationship Id="rId31"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hyperlink" Target="https://www.ohchr.org/Documents/Issues/Detention/Opinions/Session88/A_HRC_WGAD_2020_51_Advance_Edited_Version.pdf" TargetMode="External"/><Relationship Id="rId14" Type="http://schemas.openxmlformats.org/officeDocument/2006/relationships/hyperlink" Target="https://stockholmcf.org/a-year-into-his-disappearance-authorities-keep-quiet-about-the-fate-of-yusuf-bilge-tunc/" TargetMode="External"/><Relationship Id="rId22" Type="http://schemas.openxmlformats.org/officeDocument/2006/relationships/hyperlink" Target="https://www.turkishminute.com/2026/03/25/lawyers-tell-ecthr-turkey-has-kept-kavala-jailed-on-same-discredited-evidence-despite-strasbourg-rulings/" TargetMode="External"/><Relationship Id="rId27" Type="http://schemas.openxmlformats.org/officeDocument/2006/relationships/hyperlink" Target="https://stockholmcf.org/ihd-calls-for-release-of-critically-ill-kurdish-prisoner-amid-repeated-denial-of-sentence-suspension/" TargetMode="External"/><Relationship Id="rId30" Type="http://schemas.openxmlformats.org/officeDocument/2006/relationships/fontTable" Target="fontTable.xml"/></Relationships>
</file>

<file path=word/theme/theme1.xml><?xml version="1.0" encoding="utf-8"?>
<a:theme xmlns:a="http://schemas.openxmlformats.org/drawingml/2006/main" name="Office Theme">
  <a:themeElements>
    <a:clrScheme name="Newsletter">
      <a:dk1>
        <a:sysClr val="windowText" lastClr="000000"/>
      </a:dk1>
      <a:lt1>
        <a:sysClr val="window" lastClr="FFFFFF"/>
      </a:lt1>
      <a:dk2>
        <a:srgbClr val="391A0B"/>
      </a:dk2>
      <a:lt2>
        <a:srgbClr val="F5F1E2"/>
      </a:lt2>
      <a:accent1>
        <a:srgbClr val="E76A1D"/>
      </a:accent1>
      <a:accent2>
        <a:srgbClr val="C44221"/>
      </a:accent2>
      <a:accent3>
        <a:srgbClr val="479663"/>
      </a:accent3>
      <a:accent4>
        <a:srgbClr val="3E84A3"/>
      </a:accent4>
      <a:accent5>
        <a:srgbClr val="EDBA3D"/>
      </a:accent5>
      <a:accent6>
        <a:srgbClr val="784869"/>
      </a:accent6>
      <a:hlink>
        <a:srgbClr val="3E84A3"/>
      </a:hlink>
      <a:folHlink>
        <a:srgbClr val="784869"/>
      </a:folHlink>
    </a:clrScheme>
    <a:fontScheme name="Newsletter">
      <a:majorFont>
        <a:latin typeface="Arial"/>
        <a:ea typeface=""/>
        <a:cs typeface=""/>
      </a:majorFont>
      <a:minorFont>
        <a:latin typeface="Georgia"/>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
  <Abstract/>
  <CompanyAddress>Begium</CompanyAddress>
  <CompanyPhone/>
  <CompanyFax/>
  <CompanyEmail/>
</CoverPageProperties>
</file>

<file path=customXml/item2.xml><?xml version="1.0" encoding="utf-8"?>
<?mso-contentType ?>
<FormTemplates xmlns="http://schemas.microsoft.com/sharepoint/v3/contenttype/forms">
  <Display>DocumentLibraryForm</Display>
  <Edit>AssetEditForm</Edit>
  <New>DocumentLibraryForm</New>
</FormTemplat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0670F21B-DF77-455C-A847-B865AD514037}">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113</TotalTime>
  <Pages>2</Pages>
  <Words>1165</Words>
  <Characters>6642</Characters>
  <Application>Microsoft Office Word</Application>
  <DocSecurity>0</DocSecurity>
  <Lines>55</Lines>
  <Paragraphs>15</Paragraphs>
  <ScaleCrop>false</ScaleCrop>
  <HeadingPairs>
    <vt:vector size="2" baseType="variant">
      <vt:variant>
        <vt:lpstr>Title</vt:lpstr>
      </vt:variant>
      <vt:variant>
        <vt:i4>1</vt:i4>
      </vt:variant>
    </vt:vector>
  </HeadingPairs>
  <TitlesOfParts>
    <vt:vector size="1" baseType="lpstr">
      <vt:lpstr/>
    </vt:vector>
  </TitlesOfParts>
  <Company>Solidarity with OTHERS</Company>
  <LinksUpToDate>false</LinksUpToDate>
  <CharactersWithSpaces>7792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 Office User</dc:creator>
  <cp:keywords/>
  <cp:lastModifiedBy>zehra bulut</cp:lastModifiedBy>
  <cp:revision>40</cp:revision>
  <cp:lastPrinted>2012-08-02T20:18:00Z</cp:lastPrinted>
  <dcterms:created xsi:type="dcterms:W3CDTF">2020-06-22T19:34:00Z</dcterms:created>
  <dcterms:modified xsi:type="dcterms:W3CDTF">2026-03-31T12:27:00Z</dcterms:modified>
  <cp:ver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TemplateID">
    <vt:lpwstr>TC032000969991</vt:lpwstr>
  </property>
  <property fmtid="{D5CDD505-2E9C-101B-9397-08002B2CF9AE}" pid="3" name="GrammarlyDocumentId">
    <vt:lpwstr>7f2c7281e725e3c4f1e6fbcc164f4f47827a8dc3e8664a37d415783673ef7f4f</vt:lpwstr>
  </property>
</Properties>
</file>